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zbzjja6l5fw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TÉRMINOS Y CONDICIONES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xrclqc1rww31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Identificación del Responsable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INMETAL es una empresa mexicana dedicada al diseño, fabricación e instalación de herrería, cancelería, estructuras metálicas, mobiliario urbano y servicios de pintura electrostática, con operaciones en San Luis Potosí y cobertura nacional.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acceder y utilizar este sitio web, el usuario acepta los presentes Términos y Condiciones.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jr0nnye4szg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Uso del Sitio Web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usuario se compromete a: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Utilizar el sitio únicamente con fines informativos o comerciales legítimos.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No realizar actividades que dañen, alteren o interfieran con el funcionamiento del sitio.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No copiar, reproducir o utilizar el contenido sin autorización escrita de INMETAL.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Todo el contenido (textos, imágenes, logotipos, renders, diseños, catálogos) es propiedad de INMETAL.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8y4wddhbfi1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Cotizaciones y Precios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Todas las cotizaciones tienen una vigencia especificada en el documento enviado.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Los precios pueden variar sin previo aviso en caso de cambios en costos de acero, insumos o condiciones del mercado.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Los proyectos especiales se fabrican bajo pedido y requieren anticipo para iniciar producción.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Los tiempos de entrega comienzan a partir de la confirmación del anticipo y autorización de planos.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j7r8jjdpagcn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Anticipos y Pagos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Los proyectos requieren anticipo para iniciar fabricación.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El porcentaje de anticipo será especificado en cada cotización.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El saldo deberá cubrirse conforme a lo acordado antes de la entrega o instalación.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fsgh9dj3lam4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Entregas y Garantías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Los tiempos de entrega pueden variar dependiendo del volumen y complejidad del proyecto.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INMETAL ofrece garantía contra defectos de fabricación.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No aplica garantía por mal uso, modificaciones posteriores o instalación por terceros no autorizados.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h0cll87ypcs3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Propiedad Intelectual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logotipo, nombre comercial, imágenes y contenido visual son propiedad de INMETAL y están protegidos por la legislación mexicana.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Queda prohibido su uso sin autorización.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fz4ej87jcbhx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Limitación de Responsabilidad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INMETAL no será responsable por: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Retrasos derivados de causas externas (clima, proveedores, transporte).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Uso indebido de productos una vez entregados.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Instalaciones realizadas por terceros sin supervisión.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p555bntjm8jp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Jurisdicción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la interpretación y cumplimiento de los presentes términos, las partes se someten a las leyes aplicables en México y a la jurisdicción de los tribunales competentes en San Luis Potosí.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NYgeDZncKfqjzg5KExOrfUbr0Q==">CgMxLjAyDmguemJ6amphNmw1ZndvMg5oLnhyY2xxYzFyd3czMTIOaC5qcjBubnllNHN6ZzkyDmguOHk0d2RkaGJmaTF6Mg5oLmo3cjhqamRwYWdjbjIOaC5mc2doOWRqM2xhbTQyDmguaDBjbGw4N3lwY3MzMg5oLmZ6NGVqODdqY2JoeDIOaC5wNTU1Ym50am04anA4AHIhMURIVUVST0pkYUFmTUlxSFNUVzdvSDJoNzFVWWN4VGlV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